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2F85" w14:textId="766999B9" w:rsidR="0017438D" w:rsidRPr="0017438D" w:rsidRDefault="0017438D" w:rsidP="0017438D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#110</w:t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B91F21" w:rsidRPr="00B91F2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R4-2401516</w:t>
      </w:r>
    </w:p>
    <w:p w14:paraId="12113A91" w14:textId="3614E0DA" w:rsidR="0040353F" w:rsidRPr="0040353F" w:rsidRDefault="0017438D" w:rsidP="0017438D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17438D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GR, 26 Feb – 01 Mar, 2024</w:t>
      </w:r>
    </w:p>
    <w:p w14:paraId="3F66B3AB" w14:textId="77777777" w:rsid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2397295" w14:textId="77777777" w:rsidR="0017438D" w:rsidRPr="0046192B" w:rsidRDefault="0017438D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B6B7F04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952131" w:rsidRPr="0095213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maximum aggregated bandwidth for FR1 inter-band CA</w:t>
      </w:r>
    </w:p>
    <w:p w14:paraId="76ECAF7E" w14:textId="146102E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52131">
        <w:rPr>
          <w:rFonts w:ascii="Arial" w:eastAsia="Times New Roman" w:hAnsi="Arial" w:cs="Arial"/>
          <w:kern w:val="0"/>
          <w:sz w:val="22"/>
          <w:szCs w:val="20"/>
          <w:lang w:eastAsia="en-US"/>
        </w:rPr>
        <w:t>12.1.2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316411B6" w:rsidR="003210C1" w:rsidRDefault="00952131" w:rsidP="00952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[1], the LS from RAN2 is received and the following question is raised:</w:t>
      </w:r>
    </w:p>
    <w:p w14:paraId="2945D4CE" w14:textId="1CE76FD8" w:rsidR="0046192B" w:rsidRDefault="0095213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A6C49" wp14:editId="097E4787">
                <wp:simplePos x="0" y="0"/>
                <wp:positionH relativeFrom="column">
                  <wp:posOffset>-48190</wp:posOffset>
                </wp:positionH>
                <wp:positionV relativeFrom="paragraph">
                  <wp:posOffset>131533</wp:posOffset>
                </wp:positionV>
                <wp:extent cx="6189378" cy="380560"/>
                <wp:effectExtent l="0" t="0" r="20955" b="19685"/>
                <wp:wrapNone/>
                <wp:docPr id="1003805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9378" cy="380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4746B4" id="矩形 1" o:spid="_x0000_s1026" style="position:absolute;left:0;text-align:left;margin-left:-3.8pt;margin-top:10.35pt;width:487.35pt;height:2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" filled="f" strokecolor="#4472c4 [3204]" strokeweight="1pt"/>
            </w:pict>
          </mc:Fallback>
        </mc:AlternateContent>
      </w:r>
    </w:p>
    <w:p w14:paraId="177008E9" w14:textId="77777777" w:rsidR="00952131" w:rsidRPr="00952131" w:rsidRDefault="00952131" w:rsidP="00952131">
      <w:pPr>
        <w:widowControl/>
        <w:spacing w:afterLines="50" w:after="120"/>
        <w:ind w:left="1133" w:hangingChars="550" w:hanging="1133"/>
        <w:jc w:val="left"/>
        <w:rPr>
          <w:rFonts w:ascii="Times New Roman" w:eastAsia="Yu Mincho" w:hAnsi="Times New Roman" w:cs="Times New Roman"/>
          <w:i/>
          <w:iCs/>
          <w:kern w:val="0"/>
          <w:szCs w:val="21"/>
          <w:lang w:val="en-GB" w:eastAsia="ja-JP"/>
        </w:rPr>
      </w:pPr>
      <w:r w:rsidRPr="00952131">
        <w:rPr>
          <w:rFonts w:ascii="Times New Roman" w:eastAsia="Yu Mincho" w:hAnsi="Times New Roman" w:cs="Times New Roman"/>
          <w:b/>
          <w:bCs/>
          <w:i/>
          <w:iCs/>
          <w:kern w:val="0"/>
          <w:szCs w:val="21"/>
          <w:lang w:val="en-GB" w:eastAsia="ja-JP"/>
        </w:rPr>
        <w:t>Question)</w:t>
      </w:r>
      <w:r w:rsidRPr="00952131">
        <w:rPr>
          <w:rFonts w:ascii="Times New Roman" w:eastAsia="Yu Mincho" w:hAnsi="Times New Roman" w:cs="Times New Roman"/>
          <w:i/>
          <w:iCs/>
          <w:kern w:val="0"/>
          <w:szCs w:val="21"/>
          <w:lang w:val="en-GB" w:eastAsia="ja-JP"/>
        </w:rPr>
        <w:tab/>
        <w:t>Can the new maximum aggregated bandwidth UE capabilities be applied genericly to intra-band FR1 CA as well as inter-band FR1 CA?</w:t>
      </w:r>
    </w:p>
    <w:p w14:paraId="2F12CC09" w14:textId="77777777" w:rsidR="00952131" w:rsidRPr="00952131" w:rsidRDefault="00952131" w:rsidP="00947DDB">
      <w:pPr>
        <w:rPr>
          <w:rFonts w:ascii="Times New Roman" w:hAnsi="Times New Roman" w:cs="Times New Roman" w:hint="eastAsia"/>
          <w:lang w:val="en-GB"/>
        </w:rPr>
      </w:pPr>
    </w:p>
    <w:p w14:paraId="18BB44BE" w14:textId="3B19FDE6" w:rsidR="007A6214" w:rsidRPr="007A6214" w:rsidRDefault="00952131" w:rsidP="00947DDB">
      <w:pPr>
        <w:rPr>
          <w:rFonts w:ascii="Times New Roman" w:hAnsi="Times New Roman" w:cs="Times New Roman"/>
        </w:rPr>
      </w:pPr>
      <w:r w:rsidRPr="00952131">
        <w:rPr>
          <w:rFonts w:ascii="Times New Roman" w:hAnsi="Times New Roman" w:cs="Times New Roman"/>
        </w:rPr>
        <w:t xml:space="preserve">It has been a long time since this topic was discussed, and in this </w:t>
      </w:r>
      <w:r w:rsidR="00132AC1">
        <w:rPr>
          <w:rFonts w:ascii="Times New Roman" w:hAnsi="Times New Roman" w:cs="Times New Roman"/>
        </w:rPr>
        <w:t>contribution,</w:t>
      </w:r>
      <w:r w:rsidRPr="00952131">
        <w:rPr>
          <w:rFonts w:ascii="Times New Roman" w:hAnsi="Times New Roman" w:cs="Times New Roman"/>
        </w:rPr>
        <w:t xml:space="preserve"> we review the past discussions and try to give an answer to the question</w:t>
      </w:r>
      <w:r>
        <w:rPr>
          <w:rFonts w:ascii="Times New Roman" w:hAnsi="Times New Roman" w:cs="Times New Roman"/>
        </w:rPr>
        <w:t xml:space="preserve"> above.</w:t>
      </w:r>
    </w:p>
    <w:p w14:paraId="7CE4B26F" w14:textId="17290112" w:rsidR="003C1897" w:rsidRPr="00952131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  <w:r w:rsidR="0046192B" w:rsidRPr="0095213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5C8570FA" w14:textId="0ADEBEE0" w:rsidR="00952131" w:rsidRDefault="00952131" w:rsidP="00952131">
      <w:pPr>
        <w:rPr>
          <w:rFonts w:ascii="Times New Roman" w:hAnsi="Times New Roman" w:cs="Times New Roman"/>
        </w:rPr>
      </w:pPr>
      <w:r w:rsidRPr="00952131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 xml:space="preserve">2], </w:t>
      </w:r>
      <w:r w:rsidR="00E76009">
        <w:rPr>
          <w:rFonts w:ascii="Times New Roman" w:hAnsi="Times New Roman" w:cs="Times New Roman"/>
        </w:rPr>
        <w:t xml:space="preserve">the </w:t>
      </w:r>
      <w:r w:rsidR="00132AC1">
        <w:rPr>
          <w:rFonts w:ascii="Times New Roman" w:hAnsi="Times New Roman" w:cs="Times New Roman"/>
        </w:rPr>
        <w:t xml:space="preserve">mismatch between </w:t>
      </w:r>
      <w:r w:rsidR="00E76009">
        <w:rPr>
          <w:rFonts w:ascii="Times New Roman" w:hAnsi="Times New Roman" w:cs="Times New Roman"/>
        </w:rPr>
        <w:t xml:space="preserve">theoretical </w:t>
      </w:r>
      <w:r w:rsidR="00132AC1">
        <w:rPr>
          <w:rFonts w:ascii="Times New Roman" w:hAnsi="Times New Roman" w:cs="Times New Roman"/>
        </w:rPr>
        <w:t xml:space="preserve">possible </w:t>
      </w:r>
      <w:r w:rsidR="00E76009">
        <w:rPr>
          <w:rFonts w:ascii="Times New Roman" w:hAnsi="Times New Roman" w:cs="Times New Roman"/>
        </w:rPr>
        <w:t>maximum aggregated band</w:t>
      </w:r>
      <w:r w:rsidR="00132AC1">
        <w:rPr>
          <w:rFonts w:ascii="Times New Roman" w:hAnsi="Times New Roman" w:cs="Times New Roman"/>
        </w:rPr>
        <w:t xml:space="preserve">width and the </w:t>
      </w:r>
      <w:r w:rsidR="00132AC1">
        <w:rPr>
          <w:rFonts w:ascii="Times New Roman" w:hAnsi="Times New Roman" w:cs="Times New Roman"/>
        </w:rPr>
        <w:t>maximum aggregated bandwidth</w:t>
      </w:r>
      <w:r w:rsidR="00132AC1">
        <w:rPr>
          <w:rFonts w:ascii="Times New Roman" w:hAnsi="Times New Roman" w:cs="Times New Roman"/>
        </w:rPr>
        <w:t xml:space="preserve"> in spec was raised, e.g., CA_n7B, and an easy solution is to use multiple feature</w:t>
      </w:r>
      <w:r w:rsidR="006E3E12">
        <w:rPr>
          <w:rFonts w:ascii="Times New Roman" w:hAnsi="Times New Roman" w:cs="Times New Roman"/>
        </w:rPr>
        <w:t xml:space="preserve"> </w:t>
      </w:r>
      <w:r w:rsidR="00132AC1">
        <w:rPr>
          <w:rFonts w:ascii="Times New Roman" w:hAnsi="Times New Roman" w:cs="Times New Roman"/>
        </w:rPr>
        <w:t>set</w:t>
      </w:r>
      <w:r w:rsidR="006E3E12">
        <w:rPr>
          <w:rFonts w:ascii="Times New Roman" w:hAnsi="Times New Roman" w:cs="Times New Roman"/>
        </w:rPr>
        <w:t>s</w:t>
      </w:r>
      <w:r w:rsidR="00132AC1">
        <w:rPr>
          <w:rFonts w:ascii="Times New Roman" w:hAnsi="Times New Roman" w:cs="Times New Roman"/>
        </w:rPr>
        <w:t xml:space="preserve"> to indicate the real </w:t>
      </w:r>
      <w:r w:rsidR="00132AC1">
        <w:rPr>
          <w:rFonts w:ascii="Times New Roman" w:hAnsi="Times New Roman" w:cs="Times New Roman"/>
        </w:rPr>
        <w:t>maximum aggregated bandwidth</w:t>
      </w:r>
      <w:r w:rsidR="00132AC1">
        <w:rPr>
          <w:rFonts w:ascii="Times New Roman" w:hAnsi="Times New Roman" w:cs="Times New Roman"/>
        </w:rPr>
        <w:t xml:space="preserve"> of UE. In [3], the signaling of </w:t>
      </w:r>
      <w:r w:rsidR="00132AC1">
        <w:rPr>
          <w:rFonts w:ascii="Times New Roman" w:hAnsi="Times New Roman" w:cs="Times New Roman"/>
        </w:rPr>
        <w:t>maximum aggregated bandwidth</w:t>
      </w:r>
      <w:r w:rsidR="00132AC1">
        <w:rPr>
          <w:rFonts w:ascii="Times New Roman" w:hAnsi="Times New Roman" w:cs="Times New Roman"/>
        </w:rPr>
        <w:t xml:space="preserve"> for intra-band CA was proposed to reduce the signaling overhead. </w:t>
      </w:r>
    </w:p>
    <w:p w14:paraId="78651F71" w14:textId="77777777" w:rsidR="00132AC1" w:rsidRDefault="00132AC1" w:rsidP="00952131">
      <w:pPr>
        <w:rPr>
          <w:rFonts w:ascii="Times New Roman" w:hAnsi="Times New Roman" w:cs="Times New Roman"/>
        </w:rPr>
      </w:pPr>
    </w:p>
    <w:p w14:paraId="36963AEA" w14:textId="697E7DF7" w:rsidR="00132AC1" w:rsidRPr="00132AC1" w:rsidRDefault="00132AC1" w:rsidP="00952131">
      <w:pPr>
        <w:rPr>
          <w:rFonts w:ascii="Times New Roman" w:hAnsi="Times New Roman" w:cs="Times New Roman" w:hint="eastAsia"/>
          <w:b/>
          <w:bCs/>
        </w:rPr>
      </w:pPr>
      <w:r w:rsidRPr="00132AC1">
        <w:rPr>
          <w:rFonts w:ascii="Times New Roman" w:hAnsi="Times New Roman" w:cs="Times New Roman"/>
          <w:b/>
          <w:bCs/>
        </w:rPr>
        <w:t xml:space="preserve">Observation 1: The </w:t>
      </w:r>
      <w:r w:rsidRPr="00132AC1">
        <w:rPr>
          <w:rFonts w:ascii="Times New Roman" w:hAnsi="Times New Roman" w:cs="Times New Roman"/>
          <w:b/>
          <w:bCs/>
        </w:rPr>
        <w:t>signaling of maximum aggregated bandwidth</w:t>
      </w:r>
      <w:r w:rsidRPr="00132AC1">
        <w:rPr>
          <w:rFonts w:ascii="Times New Roman" w:hAnsi="Times New Roman" w:cs="Times New Roman"/>
          <w:b/>
          <w:bCs/>
        </w:rPr>
        <w:t xml:space="preserve"> is originally intended to be introduced for intra-band CA.</w:t>
      </w:r>
    </w:p>
    <w:p w14:paraId="2C3DEB04" w14:textId="77777777" w:rsidR="00952131" w:rsidRDefault="00952131" w:rsidP="00952131"/>
    <w:p w14:paraId="5C5FA2C6" w14:textId="5D4B0780" w:rsidR="00132AC1" w:rsidRDefault="00C1458A" w:rsidP="00952131">
      <w:pPr>
        <w:rPr>
          <w:rFonts w:ascii="Times New Roman" w:hAnsi="Times New Roman" w:cs="Times New Roman"/>
        </w:rPr>
      </w:pPr>
      <w:r w:rsidRPr="00C1458A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[4], the </w:t>
      </w:r>
      <w:r w:rsidR="00FB5D6F">
        <w:rPr>
          <w:rFonts w:ascii="Times New Roman" w:hAnsi="Times New Roman" w:cs="Times New Roman"/>
        </w:rPr>
        <w:t xml:space="preserve">signaling </w:t>
      </w:r>
      <w:r w:rsidR="00FB5D6F">
        <w:rPr>
          <w:rFonts w:ascii="Times New Roman" w:hAnsi="Times New Roman" w:cs="Times New Roman" w:hint="eastAsia"/>
        </w:rPr>
        <w:t>was</w:t>
      </w:r>
      <w:r w:rsidR="00FB5D6F">
        <w:rPr>
          <w:rFonts w:ascii="Times New Roman" w:hAnsi="Times New Roman" w:cs="Times New Roman"/>
        </w:rPr>
        <w:t xml:space="preserve"> proposed to be extended to inter-band CA since it can also reduce the overhead.</w:t>
      </w:r>
      <w:r>
        <w:rPr>
          <w:rFonts w:ascii="Times New Roman" w:hAnsi="Times New Roman" w:cs="Times New Roman"/>
        </w:rPr>
        <w:t xml:space="preserve"> </w:t>
      </w:r>
      <w:r w:rsidR="006E3E12">
        <w:rPr>
          <w:rFonts w:ascii="Times New Roman" w:hAnsi="Times New Roman" w:cs="Times New Roman"/>
        </w:rPr>
        <w:t xml:space="preserve">However, the main </w:t>
      </w:r>
      <w:r w:rsidR="006E3E12" w:rsidRPr="006E3E12">
        <w:rPr>
          <w:rFonts w:ascii="Times New Roman" w:hAnsi="Times New Roman" w:cs="Times New Roman"/>
        </w:rPr>
        <w:t xml:space="preserve">point of controversy is whether RAN2 really needs such </w:t>
      </w:r>
      <w:r w:rsidR="006E3E12">
        <w:rPr>
          <w:rFonts w:ascii="Times New Roman" w:hAnsi="Times New Roman" w:cs="Times New Roman"/>
        </w:rPr>
        <w:t xml:space="preserve">capabilities </w:t>
      </w:r>
      <w:r w:rsidR="006E3E12" w:rsidRPr="006E3E12">
        <w:rPr>
          <w:rFonts w:ascii="Times New Roman" w:hAnsi="Times New Roman" w:cs="Times New Roman"/>
        </w:rPr>
        <w:t>to reduce signaling overhead</w:t>
      </w:r>
      <w:r w:rsidR="006E3E12">
        <w:rPr>
          <w:rFonts w:ascii="Times New Roman" w:hAnsi="Times New Roman" w:cs="Times New Roman"/>
        </w:rPr>
        <w:t xml:space="preserve"> since multiple feature sets can also solve the problem, and this is the reason why LS from RAN4 [5] only request RAN2 to check the signaling overhead and let RAN2 to decide whether the capabilities are needed.</w:t>
      </w:r>
    </w:p>
    <w:p w14:paraId="7F4E99B8" w14:textId="77777777" w:rsidR="00C1458A" w:rsidRDefault="00C1458A" w:rsidP="00952131">
      <w:pPr>
        <w:rPr>
          <w:rFonts w:ascii="Times New Roman" w:hAnsi="Times New Roman" w:cs="Times New Roman"/>
        </w:rPr>
      </w:pPr>
    </w:p>
    <w:p w14:paraId="1EAE441D" w14:textId="65ED773E" w:rsidR="00C1458A" w:rsidRPr="006E3E12" w:rsidRDefault="00FB5D6F" w:rsidP="00952131">
      <w:pPr>
        <w:rPr>
          <w:rFonts w:ascii="Times New Roman" w:hAnsi="Times New Roman" w:cs="Times New Roman"/>
          <w:b/>
          <w:bCs/>
        </w:rPr>
      </w:pPr>
      <w:r w:rsidRPr="006E3E12">
        <w:rPr>
          <w:rFonts w:ascii="Times New Roman" w:hAnsi="Times New Roman" w:cs="Times New Roman"/>
          <w:b/>
          <w:bCs/>
        </w:rPr>
        <w:t xml:space="preserve">Observation 2: RAN2 </w:t>
      </w:r>
      <w:r w:rsidR="006E3E12">
        <w:rPr>
          <w:rFonts w:ascii="Times New Roman" w:hAnsi="Times New Roman" w:cs="Times New Roman"/>
          <w:b/>
          <w:bCs/>
        </w:rPr>
        <w:t>now</w:t>
      </w:r>
      <w:r w:rsidRPr="006E3E12">
        <w:rPr>
          <w:rFonts w:ascii="Times New Roman" w:hAnsi="Times New Roman" w:cs="Times New Roman"/>
          <w:b/>
          <w:bCs/>
        </w:rPr>
        <w:t xml:space="preserve"> decide to introduce new capability for </w:t>
      </w:r>
      <w:r w:rsidRPr="006E3E12">
        <w:rPr>
          <w:rFonts w:ascii="Times New Roman" w:hAnsi="Times New Roman" w:cs="Times New Roman"/>
          <w:b/>
          <w:bCs/>
        </w:rPr>
        <w:t>maximum aggregated bandwidth</w:t>
      </w:r>
      <w:r w:rsidR="006E3E12" w:rsidRPr="006E3E12">
        <w:rPr>
          <w:rFonts w:ascii="Times New Roman" w:hAnsi="Times New Roman" w:cs="Times New Roman"/>
          <w:b/>
          <w:bCs/>
        </w:rPr>
        <w:t xml:space="preserve"> and there is no need to </w:t>
      </w:r>
      <w:r w:rsidR="00D419BF" w:rsidRPr="00D419BF">
        <w:rPr>
          <w:rFonts w:ascii="Times New Roman" w:hAnsi="Times New Roman" w:cs="Times New Roman"/>
          <w:b/>
          <w:bCs/>
        </w:rPr>
        <w:t>argue about</w:t>
      </w:r>
      <w:r w:rsidR="006E3E12" w:rsidRPr="006E3E12">
        <w:rPr>
          <w:rFonts w:ascii="Times New Roman" w:hAnsi="Times New Roman" w:cs="Times New Roman"/>
          <w:b/>
          <w:bCs/>
        </w:rPr>
        <w:t xml:space="preserve"> the necessity for this capability. </w:t>
      </w:r>
    </w:p>
    <w:p w14:paraId="5AC1DE90" w14:textId="77777777" w:rsidR="006E3E12" w:rsidRDefault="006E3E12" w:rsidP="00952131">
      <w:pPr>
        <w:rPr>
          <w:rFonts w:ascii="Times New Roman" w:hAnsi="Times New Roman" w:cs="Times New Roman"/>
        </w:rPr>
      </w:pPr>
    </w:p>
    <w:p w14:paraId="588711A4" w14:textId="506DE3A7" w:rsidR="006E3E12" w:rsidRDefault="006E3E12" w:rsidP="009521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the capabilities are introduced and NW can also benefit it from intra-band CA case, we think it is reasonable to extend the capabilities to FR1 intra-band CA.</w:t>
      </w:r>
    </w:p>
    <w:p w14:paraId="3E92FEC6" w14:textId="77777777" w:rsidR="006E3E12" w:rsidRDefault="006E3E12" w:rsidP="00952131">
      <w:pPr>
        <w:rPr>
          <w:rFonts w:ascii="Times New Roman" w:hAnsi="Times New Roman" w:cs="Times New Roman" w:hint="eastAsia"/>
        </w:rPr>
      </w:pPr>
    </w:p>
    <w:p w14:paraId="73951EAE" w14:textId="6A0F4202" w:rsidR="00C1458A" w:rsidRDefault="00C1458A" w:rsidP="00952131">
      <w:pPr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</w:pPr>
      <w:r w:rsidRPr="006E3E12">
        <w:rPr>
          <w:rFonts w:ascii="Times New Roman" w:hAnsi="Times New Roman" w:cs="Times New Roman"/>
          <w:b/>
          <w:bCs/>
        </w:rPr>
        <w:t xml:space="preserve">Proposal: The </w:t>
      </w:r>
      <w:r w:rsidRPr="00952131"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  <w:t xml:space="preserve">new maximum aggregated bandwidth UE capabilities </w:t>
      </w:r>
      <w:r w:rsidRPr="006E3E12"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  <w:t xml:space="preserve">can also </w:t>
      </w:r>
      <w:r w:rsidRPr="00952131"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  <w:t>be applied</w:t>
      </w:r>
      <w:r w:rsidRPr="006E3E12"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  <w:t xml:space="preserve"> to FR1 intra-band CA.</w:t>
      </w:r>
    </w:p>
    <w:p w14:paraId="5B032024" w14:textId="77777777" w:rsidR="006E3E12" w:rsidRDefault="006E3E12" w:rsidP="00952131">
      <w:pPr>
        <w:rPr>
          <w:rFonts w:ascii="Times New Roman" w:eastAsia="Yu Mincho" w:hAnsi="Times New Roman" w:cs="Times New Roman"/>
          <w:b/>
          <w:bCs/>
          <w:kern w:val="0"/>
          <w:szCs w:val="21"/>
          <w:lang w:val="en-GB" w:eastAsia="ja-JP"/>
        </w:rPr>
      </w:pPr>
    </w:p>
    <w:p w14:paraId="4977B649" w14:textId="60075F09" w:rsidR="006E3E12" w:rsidRPr="006E3E12" w:rsidRDefault="006E3E12" w:rsidP="00952131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kern w:val="0"/>
          <w:szCs w:val="21"/>
          <w:lang w:val="en-GB"/>
        </w:rPr>
        <w:t>A draft reply LS is prepared in [6].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109BE1C" w14:textId="77777777" w:rsidR="006E3E12" w:rsidRPr="006E3E12" w:rsidRDefault="006E3E12" w:rsidP="006E3E12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3E12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1:</w:t>
      </w:r>
      <w:r w:rsidRPr="006E3E12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signaling of maximum aggregated bandwidth is originally intended to be introduced for intra-band CA.</w:t>
      </w:r>
    </w:p>
    <w:p w14:paraId="1DCF2D96" w14:textId="7500E76D" w:rsidR="006E3E12" w:rsidRPr="006E3E12" w:rsidRDefault="006E3E12" w:rsidP="006E3E12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3E12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Observation 2:</w:t>
      </w:r>
      <w:r w:rsidRPr="006E3E12">
        <w:rPr>
          <w:rFonts w:ascii="Times New Roman" w:eastAsia="等线" w:hAnsi="Times New Roman" w:cs="Times New Roman"/>
          <w:kern w:val="0"/>
          <w:sz w:val="20"/>
          <w:szCs w:val="20"/>
        </w:rPr>
        <w:t xml:space="preserve"> RAN2 now decide to introduce new capabilit</w:t>
      </w:r>
      <w:r w:rsidR="00D419BF">
        <w:rPr>
          <w:rFonts w:ascii="Times New Roman" w:eastAsia="等线" w:hAnsi="Times New Roman" w:cs="Times New Roman"/>
          <w:kern w:val="0"/>
          <w:sz w:val="20"/>
          <w:szCs w:val="20"/>
        </w:rPr>
        <w:t>ies</w:t>
      </w:r>
      <w:r w:rsidRPr="006E3E12">
        <w:rPr>
          <w:rFonts w:ascii="Times New Roman" w:eastAsia="等线" w:hAnsi="Times New Roman" w:cs="Times New Roman"/>
          <w:kern w:val="0"/>
          <w:sz w:val="20"/>
          <w:szCs w:val="20"/>
        </w:rPr>
        <w:t xml:space="preserve"> for maximum aggregated bandwidth and there is no need to</w:t>
      </w:r>
      <w:r w:rsidR="00D419BF">
        <w:rPr>
          <w:rFonts w:ascii="Times New Roman" w:eastAsia="等线" w:hAnsi="Times New Roman" w:cs="Times New Roman"/>
          <w:kern w:val="0"/>
          <w:sz w:val="20"/>
          <w:szCs w:val="20"/>
        </w:rPr>
        <w:t xml:space="preserve"> argue about</w:t>
      </w:r>
      <w:r w:rsidRPr="006E3E12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necessity for this capability. </w:t>
      </w:r>
    </w:p>
    <w:p w14:paraId="30149F3F" w14:textId="77777777" w:rsidR="006E3E12" w:rsidRPr="006E3E12" w:rsidRDefault="006E3E12" w:rsidP="006E3E12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FCB412A" w14:textId="222DFFDE" w:rsidR="00D8281A" w:rsidRPr="006E3E12" w:rsidRDefault="006E3E12" w:rsidP="006E3E12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E3E12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lastRenderedPageBreak/>
        <w:t xml:space="preserve">Proposal: </w:t>
      </w:r>
      <w:r w:rsidRPr="006E3E12">
        <w:rPr>
          <w:rFonts w:ascii="Times New Roman" w:eastAsia="等线" w:hAnsi="Times New Roman" w:cs="Times New Roman"/>
          <w:kern w:val="0"/>
          <w:sz w:val="20"/>
          <w:szCs w:val="20"/>
        </w:rPr>
        <w:t>The new maximum aggregated bandwidth UE capabilities can also be applied to FR1 intra-band CA.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AD0E62B" w:rsidR="00DB2092" w:rsidRDefault="00952131" w:rsidP="0095213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952131">
        <w:rPr>
          <w:rFonts w:ascii="Times New Roman" w:eastAsia="等线" w:hAnsi="Times New Roman" w:cs="Times New Roman"/>
          <w:kern w:val="0"/>
          <w:sz w:val="20"/>
          <w:szCs w:val="20"/>
        </w:rPr>
        <w:t>R2-2313745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952131">
        <w:rPr>
          <w:rFonts w:ascii="Times New Roman" w:eastAsia="等线" w:hAnsi="Times New Roman" w:cs="Times New Roman"/>
          <w:kern w:val="0"/>
          <w:sz w:val="20"/>
          <w:szCs w:val="20"/>
        </w:rPr>
        <w:t>LS on applicability of maximum aggregated bandwidth UE capabilities to intra-band FR1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Qualcomm, RAN2#124</w:t>
      </w:r>
    </w:p>
    <w:p w14:paraId="1C1043D7" w14:textId="40ABC1B1" w:rsidR="00952131" w:rsidRDefault="00352D2F" w:rsidP="00352D2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R4-2200462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Handling of maximum aggregated channel bandwidth for BCS4/5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Nokia, RAN4#101bis-e</w:t>
      </w:r>
    </w:p>
    <w:p w14:paraId="76E287B3" w14:textId="6F6DBE11" w:rsidR="00352D2F" w:rsidRDefault="00352D2F" w:rsidP="00352D2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R4-2204509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Discussion on maximum aggregated channel bandwidth for BCS4/5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Qualcomm Incorporated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, RAN4#102-e</w:t>
      </w:r>
    </w:p>
    <w:p w14:paraId="665EDB13" w14:textId="16736F77" w:rsidR="00352D2F" w:rsidRDefault="00352D2F" w:rsidP="00352D2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R4-2213176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Maximum aggregated channel bandwidth for FR1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Qualcomm Incorporated,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RAN4#10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4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-e</w:t>
      </w:r>
    </w:p>
    <w:p w14:paraId="2AD8DFD6" w14:textId="6A13C78C" w:rsidR="00352D2F" w:rsidRDefault="00352D2F" w:rsidP="0074604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R4-2303685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LS on UE signalling for the maximum aggregated bandwidth for FR1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352D2F">
        <w:rPr>
          <w:rFonts w:ascii="Times New Roman" w:eastAsia="等线" w:hAnsi="Times New Roman" w:cs="Times New Roman"/>
          <w:kern w:val="0"/>
          <w:sz w:val="20"/>
          <w:szCs w:val="20"/>
        </w:rPr>
        <w:t>Qualcomm Incorporated,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RAN4#106</w:t>
      </w:r>
    </w:p>
    <w:p w14:paraId="5D01F228" w14:textId="0C9B957F" w:rsidR="00352D2F" w:rsidRPr="00352D2F" w:rsidRDefault="00B91F21" w:rsidP="0074604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  <w:r w:rsidRPr="00B91F21">
        <w:rPr>
          <w:rFonts w:ascii="Times New Roman" w:eastAsia="等线" w:hAnsi="Times New Roman" w:cs="Times New Roman"/>
          <w:kern w:val="0"/>
          <w:sz w:val="20"/>
          <w:szCs w:val="20"/>
        </w:rPr>
        <w:t>R4-2401517</w:t>
      </w:r>
      <w:r w:rsidR="00352D2F">
        <w:rPr>
          <w:rFonts w:ascii="Times New Roman" w:eastAsia="等线" w:hAnsi="Times New Roman" w:cs="Times New Roman"/>
          <w:kern w:val="0"/>
          <w:sz w:val="20"/>
          <w:szCs w:val="20"/>
        </w:rPr>
        <w:t xml:space="preserve">, draft reply LS on </w:t>
      </w:r>
      <w:r w:rsidR="00352D2F" w:rsidRPr="00352D2F">
        <w:rPr>
          <w:rFonts w:ascii="Times New Roman" w:eastAsia="等线" w:hAnsi="Times New Roman" w:cs="Times New Roman"/>
          <w:kern w:val="0"/>
          <w:sz w:val="20"/>
          <w:szCs w:val="20"/>
        </w:rPr>
        <w:t>maximum aggregated bandwidth for FR1 inter-band CA</w:t>
      </w:r>
      <w:r w:rsidR="00352D2F">
        <w:rPr>
          <w:rFonts w:ascii="Times New Roman" w:eastAsia="等线" w:hAnsi="Times New Roman" w:cs="Times New Roman"/>
          <w:kern w:val="0"/>
          <w:sz w:val="20"/>
          <w:szCs w:val="20"/>
        </w:rPr>
        <w:t>, vivo, RAN4#110</w:t>
      </w:r>
    </w:p>
    <w:sectPr w:rsidR="00352D2F" w:rsidRPr="00352D2F" w:rsidSect="00DB78F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F795" w14:textId="77777777" w:rsidR="00DB78FA" w:rsidRDefault="00DB78FA" w:rsidP="0040353F">
      <w:r>
        <w:separator/>
      </w:r>
    </w:p>
  </w:endnote>
  <w:endnote w:type="continuationSeparator" w:id="0">
    <w:p w14:paraId="77106B14" w14:textId="77777777" w:rsidR="00DB78FA" w:rsidRDefault="00DB78FA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8FE3" w14:textId="77777777" w:rsidR="00DB78FA" w:rsidRDefault="00DB78FA" w:rsidP="0040353F">
      <w:r>
        <w:separator/>
      </w:r>
    </w:p>
  </w:footnote>
  <w:footnote w:type="continuationSeparator" w:id="0">
    <w:p w14:paraId="1BA3F5BC" w14:textId="77777777" w:rsidR="00DB78FA" w:rsidRDefault="00DB78FA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2AC1"/>
    <w:rsid w:val="00134AB1"/>
    <w:rsid w:val="00134F49"/>
    <w:rsid w:val="00157209"/>
    <w:rsid w:val="0017438D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2D2F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3E12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52131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1F21"/>
    <w:rsid w:val="00B92CF6"/>
    <w:rsid w:val="00BA265C"/>
    <w:rsid w:val="00C000FB"/>
    <w:rsid w:val="00C138D3"/>
    <w:rsid w:val="00C1458A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19BF"/>
    <w:rsid w:val="00D47778"/>
    <w:rsid w:val="00D709C1"/>
    <w:rsid w:val="00D76D9F"/>
    <w:rsid w:val="00D8281A"/>
    <w:rsid w:val="00DB0C01"/>
    <w:rsid w:val="00DB2092"/>
    <w:rsid w:val="00DB78FA"/>
    <w:rsid w:val="00E1446C"/>
    <w:rsid w:val="00E16988"/>
    <w:rsid w:val="00E22200"/>
    <w:rsid w:val="00E23C0A"/>
    <w:rsid w:val="00E45D21"/>
    <w:rsid w:val="00E46B30"/>
    <w:rsid w:val="00E617EF"/>
    <w:rsid w:val="00E76009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B5D6F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2024-02-19T08:47:00Z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